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A40BE0" w14:textId="39525677" w:rsidR="005B0458" w:rsidRPr="00D33A87" w:rsidRDefault="005B0458" w:rsidP="005B0458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 w:rsidRPr="00D33A87">
        <w:rPr>
          <w:rFonts w:ascii="Arial" w:hAnsi="Arial" w:cs="Arial"/>
          <w:b/>
          <w:bCs/>
          <w:sz w:val="24"/>
          <w:szCs w:val="24"/>
        </w:rPr>
        <w:t>SA WG2 Meeting #S2-160AHE</w:t>
      </w:r>
      <w:r w:rsidRPr="00D33A87">
        <w:rPr>
          <w:rFonts w:ascii="Arial" w:hAnsi="Arial" w:cs="Arial"/>
          <w:b/>
          <w:bCs/>
          <w:sz w:val="24"/>
          <w:szCs w:val="24"/>
        </w:rPr>
        <w:tab/>
      </w:r>
      <w:r w:rsidR="002634F2" w:rsidRPr="002634F2">
        <w:rPr>
          <w:rFonts w:ascii="Arial" w:hAnsi="Arial" w:cs="Arial"/>
          <w:b/>
          <w:bCs/>
          <w:sz w:val="24"/>
          <w:szCs w:val="24"/>
        </w:rPr>
        <w:t>S2-2401157</w:t>
      </w:r>
    </w:p>
    <w:p w14:paraId="2568832B" w14:textId="77777777" w:rsidR="005B0458" w:rsidRPr="00574F6D" w:rsidRDefault="005B0458" w:rsidP="005B045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 w:rsidRPr="00D33A87">
        <w:rPr>
          <w:rFonts w:ascii="Arial" w:hAnsi="Arial" w:cs="Arial"/>
          <w:b/>
          <w:bCs/>
          <w:sz w:val="24"/>
        </w:rPr>
        <w:t>22 - 29 January, 2024, Electronic</w:t>
      </w:r>
      <w:r w:rsidRPr="00D33A87">
        <w:rPr>
          <w:rFonts w:ascii="Arial" w:hAnsi="Arial" w:cs="Arial"/>
          <w:b/>
          <w:bCs/>
          <w:sz w:val="24"/>
        </w:rPr>
        <w:tab/>
      </w:r>
      <w:r w:rsidRPr="00D33A87">
        <w:rPr>
          <w:rFonts w:ascii="Arial" w:hAnsi="Arial" w:cs="Arial"/>
          <w:b/>
          <w:sz w:val="24"/>
        </w:rPr>
        <w:t>(</w:t>
      </w:r>
      <w:r w:rsidRPr="00D33A87">
        <w:rPr>
          <w:rFonts w:ascii="Arial" w:hAnsi="Arial" w:cs="Arial"/>
          <w:b/>
          <w:color w:val="0000FF"/>
        </w:rPr>
        <w:t>Revision of S2-24xxxx</w:t>
      </w:r>
      <w:r w:rsidRPr="00D33A87">
        <w:rPr>
          <w:rFonts w:ascii="Arial" w:hAnsi="Arial" w:cs="Arial"/>
          <w:b/>
          <w:sz w:val="24"/>
        </w:rPr>
        <w:t>)</w:t>
      </w:r>
    </w:p>
    <w:p w14:paraId="5523070C" w14:textId="6336F8F6" w:rsidR="008A3723" w:rsidRDefault="008A372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Title:</w:t>
      </w:r>
      <w:r>
        <w:rPr>
          <w:rFonts w:ascii="Arial" w:hAnsi="Arial" w:cs="Arial"/>
          <w:b/>
          <w:sz w:val="24"/>
          <w:szCs w:val="24"/>
        </w:rPr>
        <w:tab/>
      </w:r>
      <w:r w:rsidR="002634F2" w:rsidRPr="002634F2">
        <w:rPr>
          <w:rFonts w:ascii="Arial" w:hAnsi="Arial" w:cs="Arial"/>
          <w:b/>
          <w:sz w:val="24"/>
          <w:szCs w:val="24"/>
        </w:rPr>
        <w:t>New KI: Support for multi-hop U2U Relay</w:t>
      </w:r>
      <w:r w:rsidR="00E94316" w:rsidRPr="00E94316">
        <w:rPr>
          <w:rFonts w:ascii="Arial" w:hAnsi="Arial" w:cs="Arial"/>
          <w:b/>
          <w:sz w:val="24"/>
          <w:szCs w:val="24"/>
        </w:rPr>
        <w:t xml:space="preserve"> </w:t>
      </w:r>
    </w:p>
    <w:p w14:paraId="3BD24BE0" w14:textId="2C99CE7F" w:rsidR="008A3723" w:rsidRDefault="008A372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/>
        </w:rPr>
        <w:t>Source:</w:t>
      </w:r>
      <w:r>
        <w:rPr>
          <w:rFonts w:ascii="Arial" w:hAnsi="Arial"/>
          <w:b/>
          <w:sz w:val="24"/>
          <w:szCs w:val="24"/>
          <w:lang w:val="en-US"/>
        </w:rPr>
        <w:tab/>
        <w:t>Samsung</w:t>
      </w:r>
    </w:p>
    <w:p w14:paraId="0DB5952A" w14:textId="77777777" w:rsidR="008A3723" w:rsidRDefault="008A372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</w:rPr>
        <w:t>Document for:</w:t>
      </w:r>
      <w:r>
        <w:rPr>
          <w:rFonts w:ascii="Arial" w:hAnsi="Arial"/>
          <w:b/>
          <w:sz w:val="24"/>
          <w:szCs w:val="24"/>
        </w:rPr>
        <w:tab/>
      </w:r>
      <w:r>
        <w:rPr>
          <w:rFonts w:ascii="Arial" w:hAnsi="Arial"/>
          <w:b/>
          <w:sz w:val="24"/>
          <w:szCs w:val="24"/>
          <w:lang w:eastAsia="zh-CN"/>
        </w:rPr>
        <w:t xml:space="preserve">Approval </w:t>
      </w:r>
    </w:p>
    <w:p w14:paraId="3EE091C8" w14:textId="1382DA10" w:rsidR="008A3723" w:rsidRDefault="008A3723" w:rsidP="005B0458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Agenda Item:</w:t>
      </w:r>
      <w:r>
        <w:rPr>
          <w:rFonts w:ascii="Arial" w:hAnsi="Arial"/>
          <w:b/>
          <w:sz w:val="24"/>
          <w:szCs w:val="24"/>
        </w:rPr>
        <w:tab/>
        <w:t>19.</w:t>
      </w:r>
      <w:r w:rsidR="003E42A6">
        <w:rPr>
          <w:rFonts w:ascii="Arial" w:hAnsi="Arial"/>
          <w:b/>
          <w:sz w:val="24"/>
          <w:szCs w:val="24"/>
        </w:rPr>
        <w:t>7</w:t>
      </w:r>
    </w:p>
    <w:p w14:paraId="1F942DAF" w14:textId="5EAE8E4D" w:rsidR="005B0458" w:rsidRPr="005B0458" w:rsidRDefault="005B0458" w:rsidP="005B0458">
      <w:pPr>
        <w:overflowPunct w:val="0"/>
        <w:autoSpaceDE w:val="0"/>
        <w:autoSpaceDN w:val="0"/>
        <w:adjustRightInd w:val="0"/>
        <w:spacing w:before="120" w:after="0"/>
        <w:ind w:left="2127" w:hanging="2127"/>
        <w:jc w:val="both"/>
        <w:textAlignment w:val="baseline"/>
        <w:rPr>
          <w:rFonts w:ascii="Arial" w:eastAsia="Malgun Gothic" w:hAnsi="Arial" w:cs="Arial"/>
          <w:b/>
          <w:color w:val="000000"/>
          <w:sz w:val="22"/>
          <w:lang w:eastAsia="ja-JP"/>
        </w:rPr>
      </w:pPr>
      <w:r w:rsidRPr="005B0458">
        <w:rPr>
          <w:rFonts w:ascii="Arial" w:eastAsia="Malgun Gothic" w:hAnsi="Arial" w:cs="Arial"/>
          <w:b/>
          <w:color w:val="000000"/>
          <w:sz w:val="22"/>
          <w:lang w:eastAsia="ja-JP"/>
        </w:rPr>
        <w:t>Work Item / Release:</w:t>
      </w:r>
      <w:r w:rsidRPr="005B0458">
        <w:rPr>
          <w:rFonts w:ascii="Arial" w:eastAsia="Malgun Gothic" w:hAnsi="Arial" w:cs="Arial"/>
          <w:b/>
          <w:color w:val="000000"/>
          <w:sz w:val="22"/>
          <w:lang w:eastAsia="ja-JP"/>
        </w:rPr>
        <w:tab/>
      </w:r>
      <w:r w:rsidRPr="005B0458">
        <w:rPr>
          <w:rFonts w:ascii="Arial" w:eastAsia="Malgun Gothic" w:hAnsi="Arial" w:cs="Arial"/>
          <w:b/>
          <w:color w:val="000000"/>
          <w:sz w:val="22"/>
          <w:lang w:eastAsia="ja-JP"/>
        </w:rPr>
        <w:t>FS_5G_ProSe_Ph3</w:t>
      </w:r>
      <w:r w:rsidRPr="005B0458">
        <w:rPr>
          <w:rFonts w:ascii="Arial" w:eastAsia="Malgun Gothic" w:hAnsi="Arial" w:cs="Arial"/>
          <w:b/>
          <w:color w:val="000000"/>
          <w:sz w:val="22"/>
          <w:lang w:eastAsia="ja-JP"/>
        </w:rPr>
        <w:t>/Rel-19</w:t>
      </w:r>
    </w:p>
    <w:p w14:paraId="12A957A9" w14:textId="5481EE1A" w:rsidR="005B0458" w:rsidRPr="005B0458" w:rsidRDefault="005B0458" w:rsidP="005B0458">
      <w:pPr>
        <w:overflowPunct w:val="0"/>
        <w:autoSpaceDE w:val="0"/>
        <w:autoSpaceDN w:val="0"/>
        <w:adjustRightInd w:val="0"/>
        <w:spacing w:before="120" w:after="0"/>
        <w:jc w:val="both"/>
        <w:textAlignment w:val="baseline"/>
        <w:rPr>
          <w:rFonts w:ascii="Arial" w:eastAsia="Malgun Gothic" w:hAnsi="Arial" w:cs="Arial"/>
          <w:i/>
          <w:sz w:val="22"/>
          <w:lang w:eastAsia="zh-CN"/>
        </w:rPr>
      </w:pPr>
      <w:r w:rsidRPr="005B0458">
        <w:rPr>
          <w:rFonts w:ascii="Arial" w:eastAsia="Malgun Gothic" w:hAnsi="Arial" w:cs="Arial"/>
          <w:i/>
          <w:sz w:val="22"/>
          <w:lang w:eastAsia="ja-JP"/>
        </w:rPr>
        <w:t xml:space="preserve">Abstract of the contribution: This contribution proposes new </w:t>
      </w:r>
      <w:r>
        <w:rPr>
          <w:rFonts w:ascii="Arial" w:eastAsia="Malgun Gothic" w:hAnsi="Arial" w:cs="Arial"/>
          <w:i/>
          <w:sz w:val="22"/>
          <w:lang w:eastAsia="ja-JP"/>
        </w:rPr>
        <w:t>KI description for ProSe ph3 WT#</w:t>
      </w:r>
      <w:r w:rsidR="002634F2">
        <w:rPr>
          <w:rFonts w:ascii="Arial" w:eastAsia="Malgun Gothic" w:hAnsi="Arial" w:cs="Arial"/>
          <w:i/>
          <w:sz w:val="22"/>
          <w:lang w:eastAsia="ja-JP"/>
        </w:rPr>
        <w:t>1.2</w:t>
      </w:r>
      <w:r w:rsidRPr="005B0458">
        <w:rPr>
          <w:rFonts w:ascii="Arial" w:eastAsia="Malgun Gothic" w:hAnsi="Arial" w:cs="Arial"/>
          <w:sz w:val="22"/>
          <w:lang w:eastAsia="ja-JP"/>
        </w:rPr>
        <w:t>.</w:t>
      </w:r>
    </w:p>
    <w:p w14:paraId="48457DB2" w14:textId="77777777" w:rsidR="008A3723" w:rsidRDefault="008A3723">
      <w:pPr>
        <w:pStyle w:val="Heading1"/>
        <w:rPr>
          <w:rFonts w:eastAsia="Malgun Gothic" w:hint="eastAsia"/>
          <w:lang w:eastAsia="ko-KR"/>
        </w:rPr>
      </w:pPr>
      <w:r>
        <w:rPr>
          <w:rFonts w:eastAsia="Malgun Gothic" w:hint="eastAsia"/>
          <w:lang w:eastAsia="ko-KR"/>
        </w:rPr>
        <w:t>1. Discussion</w:t>
      </w:r>
    </w:p>
    <w:p w14:paraId="44983507" w14:textId="0F024AE8" w:rsidR="005F0A62" w:rsidRDefault="004852FF" w:rsidP="005B0458">
      <w:pPr>
        <w:rPr>
          <w:rFonts w:eastAsia="Malgun Gothic"/>
          <w:lang w:val="en-CA" w:eastAsia="ko-KR"/>
        </w:rPr>
      </w:pPr>
      <w:r>
        <w:rPr>
          <w:rFonts w:eastAsia="Malgun Gothic"/>
          <w:lang w:val="en-CA" w:eastAsia="ko-KR"/>
        </w:rPr>
        <w:t xml:space="preserve">As it has been agreed in </w:t>
      </w:r>
      <w:r w:rsidR="005F0A62" w:rsidRPr="005F0A62">
        <w:rPr>
          <w:rFonts w:eastAsia="Malgun Gothic"/>
          <w:lang w:val="en-CA" w:eastAsia="ko-KR"/>
        </w:rPr>
        <w:t xml:space="preserve">FS_5G_ProSe_Ph3 SID </w:t>
      </w:r>
      <w:r w:rsidR="005F0A62">
        <w:rPr>
          <w:rFonts w:eastAsia="Malgun Gothic"/>
          <w:lang w:val="en-CA" w:eastAsia="ko-KR"/>
        </w:rPr>
        <w:t>(</w:t>
      </w:r>
      <w:r w:rsidR="005F0A62" w:rsidRPr="005F0A62">
        <w:rPr>
          <w:rFonts w:eastAsia="Malgun Gothic"/>
          <w:lang w:val="en-CA" w:eastAsia="ko-KR"/>
        </w:rPr>
        <w:t>SP-231798</w:t>
      </w:r>
      <w:r w:rsidR="005F0A62">
        <w:rPr>
          <w:rFonts w:eastAsia="Malgun Gothic"/>
          <w:lang w:val="en-CA" w:eastAsia="ko-KR"/>
        </w:rPr>
        <w:t>),</w:t>
      </w:r>
      <w:r w:rsidR="005F0A62" w:rsidRPr="005F0A62">
        <w:t xml:space="preserve"> </w:t>
      </w:r>
      <w:r w:rsidR="005F0A62">
        <w:t xml:space="preserve">the </w:t>
      </w:r>
      <w:r w:rsidR="005F0A62" w:rsidRPr="005F0A62">
        <w:rPr>
          <w:rFonts w:eastAsia="Malgun Gothic"/>
          <w:lang w:val="en-CA" w:eastAsia="ko-KR"/>
        </w:rPr>
        <w:t>detailed objectives are to investigate potential 5GS enhancements in order to support the following:</w:t>
      </w:r>
    </w:p>
    <w:p w14:paraId="7DC5E160" w14:textId="77777777" w:rsidR="005F0A62" w:rsidRPr="005F0A62" w:rsidRDefault="005F0A62" w:rsidP="005F0A62">
      <w:pPr>
        <w:pStyle w:val="B1"/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</w:rPr>
      </w:pPr>
      <w:r w:rsidRPr="005F0A62">
        <w:rPr>
          <w:i/>
          <w:sz w:val="18"/>
          <w:lang w:val="en-US"/>
        </w:rPr>
        <w:t xml:space="preserve">WT-1: </w:t>
      </w:r>
      <w:r w:rsidRPr="005F0A62">
        <w:rPr>
          <w:i/>
          <w:sz w:val="18"/>
        </w:rPr>
        <w:t>Enhance ProSe to support multi-hop over NR PC5 reference point</w:t>
      </w:r>
    </w:p>
    <w:p w14:paraId="2B64099A" w14:textId="77777777" w:rsidR="005F0A62" w:rsidRPr="005F0A62" w:rsidRDefault="005F0A62" w:rsidP="005F0A62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jc w:val="both"/>
        <w:textAlignment w:val="baseline"/>
        <w:rPr>
          <w:i/>
          <w:sz w:val="18"/>
        </w:rPr>
      </w:pPr>
      <w:r w:rsidRPr="005F0A62">
        <w:rPr>
          <w:i/>
          <w:sz w:val="18"/>
        </w:rPr>
        <w:t>WT-1.1: for UE-to-Network Relay</w:t>
      </w:r>
    </w:p>
    <w:p w14:paraId="37D117D0" w14:textId="77777777" w:rsidR="005F0A62" w:rsidRPr="005F0A62" w:rsidRDefault="005F0A62" w:rsidP="005F0A62">
      <w:pPr>
        <w:pStyle w:val="B1"/>
        <w:numPr>
          <w:ilvl w:val="1"/>
          <w:numId w:val="5"/>
        </w:numPr>
        <w:overflowPunct w:val="0"/>
        <w:autoSpaceDE w:val="0"/>
        <w:autoSpaceDN w:val="0"/>
        <w:adjustRightInd w:val="0"/>
        <w:textAlignment w:val="baseline"/>
        <w:rPr>
          <w:i/>
          <w:sz w:val="18"/>
        </w:rPr>
      </w:pPr>
      <w:r w:rsidRPr="005F0A62">
        <w:rPr>
          <w:i/>
          <w:sz w:val="18"/>
        </w:rPr>
        <w:t>WT-1.2: for UE-UE Relay</w:t>
      </w:r>
    </w:p>
    <w:p w14:paraId="6B8B493F" w14:textId="77777777" w:rsidR="005F0A62" w:rsidRPr="005F0A62" w:rsidRDefault="005F0A62" w:rsidP="005F0A62">
      <w:pPr>
        <w:pStyle w:val="NO"/>
        <w:rPr>
          <w:i/>
          <w:sz w:val="18"/>
          <w:lang w:eastAsia="zh-CN"/>
        </w:rPr>
      </w:pPr>
      <w:r w:rsidRPr="005F0A62">
        <w:rPr>
          <w:i/>
          <w:sz w:val="18"/>
        </w:rPr>
        <w:t>NOTE 1:</w:t>
      </w:r>
      <w:r w:rsidRPr="005F0A62">
        <w:rPr>
          <w:i/>
          <w:sz w:val="18"/>
          <w:lang w:eastAsia="zh-CN"/>
        </w:rPr>
        <w:tab/>
        <w:t>The UE-to-Network Relay include both Layer-3 and Layer-2 Relays. UE-to-UE Relay include L3 Relay only.</w:t>
      </w:r>
    </w:p>
    <w:p w14:paraId="5985E90D" w14:textId="77777777" w:rsidR="005F0A62" w:rsidRPr="005F0A62" w:rsidRDefault="005F0A62" w:rsidP="005F0A62">
      <w:pPr>
        <w:pStyle w:val="NO"/>
        <w:rPr>
          <w:i/>
          <w:sz w:val="18"/>
          <w:lang w:eastAsia="zh-CN"/>
        </w:rPr>
      </w:pPr>
      <w:r w:rsidRPr="005F0A62">
        <w:rPr>
          <w:i/>
          <w:sz w:val="18"/>
        </w:rPr>
        <w:t>NOTE 2:  This study requires coordination with RAN WGs.</w:t>
      </w:r>
    </w:p>
    <w:p w14:paraId="7AC916C0" w14:textId="0B5D5FF5" w:rsidR="005B0458" w:rsidRDefault="005F0A62">
      <w:pPr>
        <w:rPr>
          <w:rFonts w:eastAsia="Malgun Gothic" w:hint="eastAsia"/>
          <w:lang w:eastAsia="ko-KR"/>
        </w:rPr>
      </w:pPr>
      <w:r>
        <w:rPr>
          <w:rFonts w:eastAsia="Malgun Gothic"/>
          <w:lang w:eastAsia="ko-KR"/>
        </w:rPr>
        <w:t xml:space="preserve">In this contribution proposes the KI description of </w:t>
      </w:r>
      <w:r w:rsidR="00A82021">
        <w:rPr>
          <w:rFonts w:eastAsia="Malgun Gothic"/>
          <w:lang w:eastAsia="ko-KR"/>
        </w:rPr>
        <w:t>WT-1.2: for UE</w:t>
      </w:r>
      <w:r w:rsidR="00E17997">
        <w:rPr>
          <w:rFonts w:eastAsia="Malgun Gothic"/>
          <w:lang w:eastAsia="ko-KR"/>
        </w:rPr>
        <w:t>-</w:t>
      </w:r>
      <w:r w:rsidRPr="005F0A62">
        <w:rPr>
          <w:rFonts w:eastAsia="Malgun Gothic"/>
          <w:lang w:eastAsia="ko-KR"/>
        </w:rPr>
        <w:t>UE Relay</w:t>
      </w:r>
      <w:r>
        <w:rPr>
          <w:rFonts w:eastAsia="Malgun Gothic"/>
          <w:lang w:eastAsia="ko-KR"/>
        </w:rPr>
        <w:t xml:space="preserve">. </w:t>
      </w:r>
    </w:p>
    <w:p w14:paraId="47039DBF" w14:textId="77777777" w:rsidR="008A3723" w:rsidRDefault="008A3723">
      <w:pPr>
        <w:pStyle w:val="Heading1"/>
        <w:rPr>
          <w:rFonts w:eastAsia="Malgun Gothic" w:hint="eastAsia"/>
          <w:lang w:eastAsia="ko-KR"/>
        </w:rPr>
      </w:pPr>
      <w:r>
        <w:rPr>
          <w:rFonts w:eastAsia="Malgun Gothic" w:hint="eastAsia"/>
          <w:lang w:eastAsia="ko-KR"/>
        </w:rPr>
        <w:t xml:space="preserve">2. </w:t>
      </w:r>
      <w:r>
        <w:rPr>
          <w:rFonts w:eastAsia="Malgun Gothic"/>
          <w:lang w:eastAsia="ko-KR"/>
        </w:rPr>
        <w:t>P</w:t>
      </w:r>
      <w:r>
        <w:rPr>
          <w:rFonts w:eastAsia="Malgun Gothic" w:hint="eastAsia"/>
          <w:lang w:eastAsia="ko-KR"/>
        </w:rPr>
        <w:t xml:space="preserve">roposal </w:t>
      </w:r>
    </w:p>
    <w:p w14:paraId="70C77004" w14:textId="46B8C6A4" w:rsidR="008A3723" w:rsidRDefault="008A372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It is proposed to adopt the following text in TR 23.700-</w:t>
      </w:r>
      <w:r w:rsidR="005B0458">
        <w:rPr>
          <w:rFonts w:eastAsia="Malgun Gothic"/>
          <w:lang w:eastAsia="ko-KR"/>
        </w:rPr>
        <w:t>03</w:t>
      </w:r>
      <w:r>
        <w:rPr>
          <w:rFonts w:eastAsia="Malgun Gothic"/>
          <w:lang w:eastAsia="ko-KR"/>
        </w:rPr>
        <w:t>.</w:t>
      </w:r>
    </w:p>
    <w:p w14:paraId="2E213C2B" w14:textId="77777777" w:rsidR="008A3723" w:rsidRDefault="008A3723">
      <w:pPr>
        <w:ind w:right="-99"/>
        <w:jc w:val="center"/>
        <w:rPr>
          <w:color w:val="548DD4"/>
          <w:sz w:val="36"/>
          <w:szCs w:val="36"/>
          <w:lang w:eastAsia="ko-KR"/>
        </w:rPr>
      </w:pPr>
      <w:r>
        <w:rPr>
          <w:rFonts w:hint="eastAsia"/>
          <w:color w:val="548DD4"/>
          <w:sz w:val="36"/>
          <w:szCs w:val="36"/>
          <w:lang w:eastAsia="ko-KR"/>
        </w:rPr>
        <w:t xml:space="preserve">*** </w:t>
      </w:r>
      <w:r>
        <w:rPr>
          <w:color w:val="548DD4"/>
          <w:sz w:val="36"/>
          <w:szCs w:val="36"/>
          <w:lang w:eastAsia="ko-KR"/>
        </w:rPr>
        <w:t xml:space="preserve">Start of the </w:t>
      </w:r>
      <w:r>
        <w:rPr>
          <w:rFonts w:hint="eastAsia"/>
          <w:color w:val="548DD4"/>
          <w:sz w:val="36"/>
          <w:szCs w:val="36"/>
          <w:lang w:eastAsia="ko-KR"/>
        </w:rPr>
        <w:t>change</w:t>
      </w:r>
      <w:r>
        <w:rPr>
          <w:color w:val="548DD4"/>
          <w:sz w:val="36"/>
          <w:szCs w:val="36"/>
          <w:lang w:eastAsia="ko-KR"/>
        </w:rPr>
        <w:t xml:space="preserve"> (all new text) </w:t>
      </w:r>
      <w:r>
        <w:rPr>
          <w:rFonts w:hint="eastAsia"/>
          <w:color w:val="548DD4"/>
          <w:sz w:val="36"/>
          <w:szCs w:val="36"/>
          <w:lang w:eastAsia="ko-KR"/>
        </w:rPr>
        <w:t>***</w:t>
      </w:r>
    </w:p>
    <w:p w14:paraId="6C951AB4" w14:textId="70EFA454" w:rsidR="00C22B2D" w:rsidRPr="00BC4377" w:rsidRDefault="00C22B2D" w:rsidP="00C22B2D">
      <w:pPr>
        <w:pStyle w:val="Heading2"/>
        <w:rPr>
          <w:lang w:eastAsia="ko-KR"/>
        </w:rPr>
      </w:pPr>
      <w:bookmarkStart w:id="0" w:name="_Toc435670433"/>
      <w:bookmarkStart w:id="1" w:name="_Toc436124703"/>
      <w:bookmarkStart w:id="2" w:name="_Toc509905226"/>
      <w:bookmarkStart w:id="3" w:name="_Toc22286583"/>
      <w:bookmarkStart w:id="4" w:name="_Toc23317644"/>
      <w:bookmarkStart w:id="5" w:name="_Toc94300256"/>
      <w:r w:rsidRPr="00BC4377">
        <w:rPr>
          <w:rFonts w:hint="eastAsia"/>
          <w:lang w:eastAsia="ko-KR"/>
        </w:rPr>
        <w:t>5.</w:t>
      </w:r>
      <w:r w:rsidRPr="00BC4377">
        <w:rPr>
          <w:lang w:eastAsia="ko-KR"/>
        </w:rPr>
        <w:t>X</w:t>
      </w:r>
      <w:r w:rsidRPr="00BC4377">
        <w:rPr>
          <w:rFonts w:hint="eastAsia"/>
          <w:lang w:eastAsia="ko-KR"/>
        </w:rPr>
        <w:tab/>
        <w:t>Key Issue #</w:t>
      </w:r>
      <w:r w:rsidRPr="00BC4377">
        <w:rPr>
          <w:lang w:eastAsia="ko-KR"/>
        </w:rPr>
        <w:t>X</w:t>
      </w:r>
      <w:r w:rsidRPr="00BC4377">
        <w:rPr>
          <w:rFonts w:hint="eastAsia"/>
          <w:lang w:eastAsia="ko-KR"/>
        </w:rPr>
        <w:t xml:space="preserve">: </w:t>
      </w:r>
      <w:bookmarkEnd w:id="0"/>
      <w:bookmarkEnd w:id="1"/>
      <w:bookmarkEnd w:id="2"/>
      <w:bookmarkEnd w:id="3"/>
      <w:bookmarkEnd w:id="4"/>
      <w:bookmarkEnd w:id="5"/>
      <w:r>
        <w:t>Support for multi-hop UE-to-</w:t>
      </w:r>
      <w:r w:rsidRPr="00C22B2D">
        <w:t xml:space="preserve">UE </w:t>
      </w:r>
      <w:r>
        <w:t>Relays</w:t>
      </w:r>
    </w:p>
    <w:p w14:paraId="2F2E55A4" w14:textId="2F88D5D6" w:rsidR="00C22B2D" w:rsidRPr="00BC4377" w:rsidRDefault="00C22B2D" w:rsidP="00C22B2D">
      <w:pPr>
        <w:pStyle w:val="Heading3"/>
        <w:rPr>
          <w:lang w:eastAsia="ko-KR"/>
        </w:rPr>
      </w:pPr>
      <w:bookmarkStart w:id="6" w:name="_Toc435670434"/>
      <w:bookmarkStart w:id="7" w:name="_Toc436124704"/>
      <w:bookmarkStart w:id="8" w:name="_Toc509905227"/>
      <w:bookmarkStart w:id="9" w:name="_Toc22286584"/>
      <w:bookmarkStart w:id="10" w:name="_Toc23317645"/>
      <w:bookmarkStart w:id="11" w:name="_Toc94300257"/>
      <w:r w:rsidRPr="00BC4377">
        <w:rPr>
          <w:rFonts w:hint="eastAsia"/>
          <w:lang w:eastAsia="ko-KR"/>
        </w:rPr>
        <w:t>5</w:t>
      </w:r>
      <w:r w:rsidRPr="00BC4377">
        <w:rPr>
          <w:rFonts w:hint="eastAsia"/>
          <w:lang w:eastAsia="zh-CN"/>
        </w:rPr>
        <w:t>.</w:t>
      </w:r>
      <w:r w:rsidRPr="00BC4377">
        <w:rPr>
          <w:lang w:eastAsia="zh-CN"/>
        </w:rPr>
        <w:t>X</w:t>
      </w:r>
      <w:r w:rsidR="00E17997">
        <w:rPr>
          <w:rFonts w:hint="eastAsia"/>
          <w:lang w:eastAsia="ko-KR"/>
        </w:rPr>
        <w:t>.1</w:t>
      </w:r>
      <w:r w:rsidR="00E17997">
        <w:rPr>
          <w:rFonts w:hint="eastAsia"/>
          <w:lang w:eastAsia="ko-KR"/>
        </w:rPr>
        <w:tab/>
        <w:t>General D</w:t>
      </w:r>
      <w:r w:rsidRPr="00BC4377">
        <w:rPr>
          <w:rFonts w:hint="eastAsia"/>
          <w:lang w:eastAsia="ko-KR"/>
        </w:rPr>
        <w:t>escription</w:t>
      </w:r>
      <w:bookmarkEnd w:id="6"/>
      <w:bookmarkEnd w:id="7"/>
      <w:bookmarkEnd w:id="8"/>
      <w:bookmarkEnd w:id="9"/>
      <w:bookmarkEnd w:id="10"/>
      <w:bookmarkEnd w:id="11"/>
    </w:p>
    <w:p w14:paraId="13478B86" w14:textId="2B2C93C4" w:rsidR="009B191E" w:rsidRDefault="009B191E" w:rsidP="00A82021">
      <w:r>
        <w:t xml:space="preserve">This key issue should study how to support the </w:t>
      </w:r>
      <w:r w:rsidRPr="009B191E">
        <w:t>multi-hop UE-to-UE Relays</w:t>
      </w:r>
      <w:r>
        <w:t xml:space="preserve"> </w:t>
      </w:r>
      <w:r w:rsidRPr="009B191E">
        <w:t>over NR PC5 reference point</w:t>
      </w:r>
      <w:r>
        <w:t xml:space="preserve"> by leveraging the existing mechanism</w:t>
      </w:r>
      <w:r w:rsidR="00117CE9">
        <w:t>s</w:t>
      </w:r>
      <w:r>
        <w:t xml:space="preserve"> and architecture to support </w:t>
      </w:r>
      <w:r w:rsidR="00DB5EB2">
        <w:t xml:space="preserve">single-hop </w:t>
      </w:r>
      <w:r w:rsidR="00DB5EB2" w:rsidRPr="00DB5EB2">
        <w:t>UE-to-UE</w:t>
      </w:r>
      <w:r w:rsidR="00117CE9">
        <w:t xml:space="preserve"> Relay</w:t>
      </w:r>
      <w:r w:rsidR="00DB5EB2">
        <w:t xml:space="preserve"> </w:t>
      </w:r>
      <w:r>
        <w:t xml:space="preserve">specified in </w:t>
      </w:r>
      <w:r w:rsidR="00DB5EB2">
        <w:t>Rel-18</w:t>
      </w:r>
      <w:r>
        <w:t xml:space="preserve"> and introducing new functionalities considering the requirements of services. </w:t>
      </w:r>
      <w:r w:rsidRPr="009B191E">
        <w:t xml:space="preserve">This key issue </w:t>
      </w:r>
      <w:r>
        <w:t xml:space="preserve">addresses the following: </w:t>
      </w:r>
    </w:p>
    <w:p w14:paraId="63594F2C" w14:textId="265541BC" w:rsidR="006B33E1" w:rsidRDefault="009B191E" w:rsidP="006B33E1">
      <w:pPr>
        <w:pStyle w:val="B1"/>
      </w:pPr>
      <w:r w:rsidRPr="009C5779">
        <w:t>-</w:t>
      </w:r>
      <w:r w:rsidRPr="009C5779">
        <w:tab/>
      </w:r>
      <w:r>
        <w:t>Whether and h</w:t>
      </w:r>
      <w:r w:rsidRPr="009C5779">
        <w:t>ow to</w:t>
      </w:r>
      <w:r>
        <w:t xml:space="preserve"> leverage the existing </w:t>
      </w:r>
      <w:r w:rsidR="006B33E1">
        <w:t xml:space="preserve">discovery mechanism of </w:t>
      </w:r>
      <w:r w:rsidRPr="009C5779">
        <w:t xml:space="preserve">UE-to-UE Relay(s) </w:t>
      </w:r>
      <w:r w:rsidR="006B33E1">
        <w:t xml:space="preserve">to support </w:t>
      </w:r>
      <w:r w:rsidR="006B33E1" w:rsidRPr="006B33E1">
        <w:t>multi-hop UE-to-UE Relays</w:t>
      </w:r>
      <w:r w:rsidR="006C6EC9">
        <w:t>.</w:t>
      </w:r>
    </w:p>
    <w:p w14:paraId="5401B0BB" w14:textId="2EE1BB08" w:rsidR="009B191E" w:rsidRPr="009C5779" w:rsidRDefault="009B191E" w:rsidP="009B191E">
      <w:pPr>
        <w:pStyle w:val="B1"/>
      </w:pPr>
      <w:r w:rsidRPr="009C5779">
        <w:t>-</w:t>
      </w:r>
      <w:r w:rsidRPr="009C5779">
        <w:tab/>
        <w:t>Whether and how the network can control</w:t>
      </w:r>
      <w:r w:rsidR="006B33E1">
        <w:t xml:space="preserve"> the multi-hop</w:t>
      </w:r>
      <w:r w:rsidRPr="009C5779">
        <w:t xml:space="preserve"> UE-to-UE Relay operation, including how to:</w:t>
      </w:r>
    </w:p>
    <w:p w14:paraId="5FE5E19B" w14:textId="3AE8A833" w:rsidR="009B191E" w:rsidRPr="009C5779" w:rsidRDefault="009B191E" w:rsidP="009B191E">
      <w:pPr>
        <w:pStyle w:val="B2"/>
      </w:pPr>
      <w:r w:rsidRPr="009C5779">
        <w:t>-</w:t>
      </w:r>
      <w:r w:rsidRPr="009C5779">
        <w:tab/>
        <w:t xml:space="preserve">Authorize the </w:t>
      </w:r>
      <w:r w:rsidR="006B33E1">
        <w:t>multi-hop</w:t>
      </w:r>
      <w:r w:rsidR="006B33E1" w:rsidRPr="009C5779">
        <w:t xml:space="preserve"> </w:t>
      </w:r>
      <w:r w:rsidRPr="009C5779">
        <w:t xml:space="preserve">UE-to-UE Relay, e.g. authorize a UE as </w:t>
      </w:r>
      <w:r w:rsidR="006B33E1">
        <w:t>multi-hop</w:t>
      </w:r>
      <w:r w:rsidR="006B33E1" w:rsidRPr="009C5779">
        <w:t xml:space="preserve"> </w:t>
      </w:r>
      <w:r w:rsidRPr="009C5779">
        <w:t>UE-to-UE Relay.</w:t>
      </w:r>
    </w:p>
    <w:p w14:paraId="110CD1D3" w14:textId="71F91F02" w:rsidR="009B191E" w:rsidRPr="009C5779" w:rsidRDefault="009B191E" w:rsidP="009B191E">
      <w:pPr>
        <w:pStyle w:val="B2"/>
      </w:pPr>
      <w:r w:rsidRPr="009C5779">
        <w:t>-</w:t>
      </w:r>
      <w:r w:rsidRPr="009C5779">
        <w:tab/>
        <w:t xml:space="preserve">Authorize Source/Target UEs to use a </w:t>
      </w:r>
      <w:r w:rsidR="006B33E1">
        <w:t>multi-hop</w:t>
      </w:r>
      <w:r w:rsidR="006B33E1" w:rsidRPr="009C5779">
        <w:t xml:space="preserve"> </w:t>
      </w:r>
      <w:r w:rsidRPr="009C5779">
        <w:t>UE-to-UE Relay</w:t>
      </w:r>
      <w:r w:rsidR="00117CE9">
        <w:t>s</w:t>
      </w:r>
      <w:r w:rsidRPr="009C5779">
        <w:t>.</w:t>
      </w:r>
    </w:p>
    <w:p w14:paraId="33DA4F50" w14:textId="56A47076" w:rsidR="009B191E" w:rsidRPr="009C5779" w:rsidRDefault="009B191E" w:rsidP="009B191E">
      <w:pPr>
        <w:pStyle w:val="B2"/>
      </w:pPr>
      <w:r w:rsidRPr="009C5779">
        <w:t>-</w:t>
      </w:r>
      <w:r w:rsidRPr="009C5779">
        <w:tab/>
        <w:t xml:space="preserve">Provisioning policy and parameters for </w:t>
      </w:r>
      <w:r w:rsidR="006B33E1">
        <w:t>multi-hop</w:t>
      </w:r>
      <w:r w:rsidR="006B33E1" w:rsidRPr="009C5779">
        <w:t xml:space="preserve"> </w:t>
      </w:r>
      <w:r w:rsidRPr="009C5779">
        <w:t>UE-to-UE Relay service.</w:t>
      </w:r>
    </w:p>
    <w:p w14:paraId="2A43CD15" w14:textId="17556E41" w:rsidR="006B33E1" w:rsidRDefault="009B191E" w:rsidP="006B33E1">
      <w:pPr>
        <w:pStyle w:val="B1"/>
      </w:pPr>
      <w:r w:rsidRPr="009C5779">
        <w:t>-</w:t>
      </w:r>
      <w:r w:rsidRPr="009C5779">
        <w:tab/>
      </w:r>
      <w:r w:rsidR="006B33E1">
        <w:t>Whether and h</w:t>
      </w:r>
      <w:r w:rsidR="006B33E1" w:rsidRPr="009C5779">
        <w:t>ow to</w:t>
      </w:r>
      <w:r w:rsidR="006B33E1">
        <w:t xml:space="preserve"> leverage the existing</w:t>
      </w:r>
      <w:r w:rsidR="006B33E1">
        <w:t xml:space="preserve"> communication management </w:t>
      </w:r>
      <w:r w:rsidR="006B33E1">
        <w:t xml:space="preserve">mechanism of </w:t>
      </w:r>
      <w:r w:rsidR="006B33E1">
        <w:t xml:space="preserve">UE-to-UE Relay to </w:t>
      </w:r>
      <w:r w:rsidR="006B33E1">
        <w:t xml:space="preserve">support </w:t>
      </w:r>
      <w:r w:rsidR="006B33E1">
        <w:t xml:space="preserve">communication via </w:t>
      </w:r>
      <w:r w:rsidR="006B33E1" w:rsidRPr="006B33E1">
        <w:t>multi-hop UE-to-UE Relays</w:t>
      </w:r>
      <w:r w:rsidR="006B33E1">
        <w:t>.</w:t>
      </w:r>
    </w:p>
    <w:p w14:paraId="76D3D32A" w14:textId="54BA46F7" w:rsidR="009B191E" w:rsidRPr="009C5779" w:rsidRDefault="009B191E" w:rsidP="006B33E1">
      <w:pPr>
        <w:pStyle w:val="B1"/>
      </w:pPr>
      <w:r w:rsidRPr="009C5779">
        <w:t>-</w:t>
      </w:r>
      <w:r w:rsidRPr="009C5779">
        <w:tab/>
      </w:r>
      <w:r w:rsidR="006B33E1">
        <w:t>Whether and h</w:t>
      </w:r>
      <w:r w:rsidR="006B33E1" w:rsidRPr="009C5779">
        <w:t>ow to</w:t>
      </w:r>
      <w:r w:rsidR="006B33E1">
        <w:t xml:space="preserve"> leverage the existing </w:t>
      </w:r>
      <w:r w:rsidRPr="009C5779">
        <w:t xml:space="preserve">QoS framework to satisfy the </w:t>
      </w:r>
      <w:r w:rsidR="006B33E1" w:rsidRPr="009C5779">
        <w:t>end-to-end</w:t>
      </w:r>
      <w:r w:rsidR="006B33E1" w:rsidRPr="009C5779">
        <w:t xml:space="preserve"> </w:t>
      </w:r>
      <w:r w:rsidRPr="009C5779">
        <w:t>QoS requirements (such as data rate, reliability, latency)</w:t>
      </w:r>
      <w:r w:rsidR="006B33E1">
        <w:t xml:space="preserve"> of </w:t>
      </w:r>
      <w:r w:rsidR="006B33E1" w:rsidRPr="006B33E1">
        <w:t>multi-hop UE-to-UE Relays</w:t>
      </w:r>
      <w:r w:rsidRPr="009C5779">
        <w:t>.</w:t>
      </w:r>
      <w:r w:rsidR="006B33E1">
        <w:t xml:space="preserve"> </w:t>
      </w:r>
    </w:p>
    <w:p w14:paraId="3758EB0B" w14:textId="234A8D44" w:rsidR="009B191E" w:rsidRPr="009C5779" w:rsidRDefault="009B191E" w:rsidP="009B191E">
      <w:pPr>
        <w:pStyle w:val="B1"/>
      </w:pPr>
      <w:r w:rsidRPr="009C5779">
        <w:t>-</w:t>
      </w:r>
      <w:r w:rsidRPr="009C5779">
        <w:tab/>
      </w:r>
      <w:r w:rsidR="006B33E1">
        <w:t xml:space="preserve">Whether </w:t>
      </w:r>
      <w:r w:rsidR="006B33E1">
        <w:t>and h</w:t>
      </w:r>
      <w:r w:rsidRPr="009C5779">
        <w:t xml:space="preserve">ow to enhance the system architecture to provide security/privacy protection for a </w:t>
      </w:r>
      <w:r w:rsidR="006B33E1">
        <w:t xml:space="preserve">multi-hop </w:t>
      </w:r>
      <w:r w:rsidRPr="009C5779">
        <w:t>relayed connection.</w:t>
      </w:r>
    </w:p>
    <w:p w14:paraId="3046E8CC" w14:textId="1C72EFAC" w:rsidR="006B33E1" w:rsidRDefault="009B191E" w:rsidP="006B33E1">
      <w:pPr>
        <w:pStyle w:val="B1"/>
      </w:pPr>
      <w:r w:rsidRPr="009C5779">
        <w:lastRenderedPageBreak/>
        <w:t>-</w:t>
      </w:r>
      <w:r w:rsidRPr="009C5779">
        <w:tab/>
      </w:r>
      <w:r w:rsidR="006B33E1">
        <w:t>Whether and how to</w:t>
      </w:r>
      <w:r w:rsidR="006C6EC9">
        <w:t xml:space="preserve"> limit, configure and determine the number of hops for </w:t>
      </w:r>
      <w:r w:rsidR="006C6EC9" w:rsidRPr="006C6EC9">
        <w:t>UE-to-UE Relays</w:t>
      </w:r>
      <w:r w:rsidR="006C6EC9">
        <w:t xml:space="preserve"> </w:t>
      </w:r>
      <w:r w:rsidR="00F868D3">
        <w:t xml:space="preserve">discovery and </w:t>
      </w:r>
      <w:r w:rsidR="006C6EC9">
        <w:t xml:space="preserve">communication. </w:t>
      </w:r>
    </w:p>
    <w:p w14:paraId="5AF7A026" w14:textId="68C7ABCB" w:rsidR="008A5E7C" w:rsidRPr="008A5E7C" w:rsidRDefault="008A5E7C" w:rsidP="008A5E7C">
      <w:pPr>
        <w:keepLines/>
        <w:overflowPunct w:val="0"/>
        <w:autoSpaceDE w:val="0"/>
        <w:autoSpaceDN w:val="0"/>
        <w:adjustRightInd w:val="0"/>
        <w:ind w:left="1135" w:hanging="851"/>
        <w:rPr>
          <w:rFonts w:eastAsia="Times New Roman"/>
          <w:color w:val="000000"/>
          <w:lang w:eastAsia="zh-CN"/>
        </w:rPr>
      </w:pPr>
      <w:r w:rsidRPr="008A5E7C">
        <w:rPr>
          <w:rFonts w:eastAsia="Times New Roman"/>
          <w:color w:val="000000"/>
          <w:lang w:eastAsia="ja-JP"/>
        </w:rPr>
        <w:t>NOTE 1:</w:t>
      </w:r>
      <w:r w:rsidRPr="008A5E7C">
        <w:rPr>
          <w:rFonts w:eastAsia="Times New Roman"/>
          <w:color w:val="000000"/>
          <w:lang w:eastAsia="zh-CN"/>
        </w:rPr>
        <w:tab/>
        <w:t>UE-to-UE Relay include L3 Relay only.</w:t>
      </w:r>
    </w:p>
    <w:p w14:paraId="7E203392" w14:textId="77777777" w:rsidR="009B191E" w:rsidRDefault="009B191E" w:rsidP="00A82021">
      <w:bookmarkStart w:id="12" w:name="_GoBack"/>
      <w:bookmarkEnd w:id="12"/>
    </w:p>
    <w:p w14:paraId="1D7B3DD6" w14:textId="77777777" w:rsidR="00997E6B" w:rsidRDefault="00997E6B" w:rsidP="00A82021"/>
    <w:p w14:paraId="10609C88" w14:textId="77777777" w:rsidR="008A3723" w:rsidRDefault="008A3723">
      <w:pPr>
        <w:ind w:right="-99"/>
        <w:jc w:val="center"/>
        <w:rPr>
          <w:rFonts w:hint="eastAsia"/>
          <w:b/>
        </w:rPr>
      </w:pPr>
      <w:r>
        <w:rPr>
          <w:rFonts w:hint="eastAsia"/>
          <w:color w:val="548DD4"/>
          <w:sz w:val="36"/>
          <w:szCs w:val="36"/>
          <w:lang w:eastAsia="ko-KR"/>
        </w:rPr>
        <w:t>*** End of the change ***</w:t>
      </w:r>
    </w:p>
    <w:sectPr w:rsidR="008A3723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39B4C87"/>
    <w:multiLevelType w:val="multilevel"/>
    <w:tmpl w:val="439B4C87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7B0F"/>
    <w:rsid w:val="00012515"/>
    <w:rsid w:val="00046389"/>
    <w:rsid w:val="000722D2"/>
    <w:rsid w:val="000746FC"/>
    <w:rsid w:val="00074722"/>
    <w:rsid w:val="000819D8"/>
    <w:rsid w:val="000827CD"/>
    <w:rsid w:val="000934A6"/>
    <w:rsid w:val="000A2C6C"/>
    <w:rsid w:val="000A4660"/>
    <w:rsid w:val="000C5184"/>
    <w:rsid w:val="000D1B5B"/>
    <w:rsid w:val="000F57D4"/>
    <w:rsid w:val="0010401F"/>
    <w:rsid w:val="00112FC3"/>
    <w:rsid w:val="00117CE9"/>
    <w:rsid w:val="00135DC1"/>
    <w:rsid w:val="00146E08"/>
    <w:rsid w:val="00146E6E"/>
    <w:rsid w:val="0015606C"/>
    <w:rsid w:val="00173FA3"/>
    <w:rsid w:val="00174367"/>
    <w:rsid w:val="00175121"/>
    <w:rsid w:val="00184B6F"/>
    <w:rsid w:val="001861E5"/>
    <w:rsid w:val="00197139"/>
    <w:rsid w:val="001B1652"/>
    <w:rsid w:val="001C3EC8"/>
    <w:rsid w:val="001D2BD4"/>
    <w:rsid w:val="001D4258"/>
    <w:rsid w:val="001D6911"/>
    <w:rsid w:val="001F124A"/>
    <w:rsid w:val="00201947"/>
    <w:rsid w:val="0020395B"/>
    <w:rsid w:val="002046CB"/>
    <w:rsid w:val="00204DC9"/>
    <w:rsid w:val="002062C0"/>
    <w:rsid w:val="00215130"/>
    <w:rsid w:val="00227E90"/>
    <w:rsid w:val="00230002"/>
    <w:rsid w:val="00244C9A"/>
    <w:rsid w:val="00247216"/>
    <w:rsid w:val="002634F2"/>
    <w:rsid w:val="00266700"/>
    <w:rsid w:val="00276C34"/>
    <w:rsid w:val="002A12B3"/>
    <w:rsid w:val="002A1857"/>
    <w:rsid w:val="002C7F38"/>
    <w:rsid w:val="002D4A67"/>
    <w:rsid w:val="002D5CF7"/>
    <w:rsid w:val="002F671E"/>
    <w:rsid w:val="0030628A"/>
    <w:rsid w:val="00320E65"/>
    <w:rsid w:val="0035122B"/>
    <w:rsid w:val="00353451"/>
    <w:rsid w:val="003612BE"/>
    <w:rsid w:val="00371032"/>
    <w:rsid w:val="00371B44"/>
    <w:rsid w:val="003C122B"/>
    <w:rsid w:val="003C5A97"/>
    <w:rsid w:val="003C7A04"/>
    <w:rsid w:val="003E42A6"/>
    <w:rsid w:val="003F52B2"/>
    <w:rsid w:val="00405DA9"/>
    <w:rsid w:val="004102C1"/>
    <w:rsid w:val="00440414"/>
    <w:rsid w:val="00453379"/>
    <w:rsid w:val="004558E9"/>
    <w:rsid w:val="0045777E"/>
    <w:rsid w:val="004852FF"/>
    <w:rsid w:val="004A5C08"/>
    <w:rsid w:val="004B355B"/>
    <w:rsid w:val="004B3753"/>
    <w:rsid w:val="004C31D2"/>
    <w:rsid w:val="004D55C2"/>
    <w:rsid w:val="004F686A"/>
    <w:rsid w:val="00507888"/>
    <w:rsid w:val="00521131"/>
    <w:rsid w:val="005222C3"/>
    <w:rsid w:val="00527C0B"/>
    <w:rsid w:val="005410F6"/>
    <w:rsid w:val="00546762"/>
    <w:rsid w:val="00561439"/>
    <w:rsid w:val="005703A3"/>
    <w:rsid w:val="005729C4"/>
    <w:rsid w:val="00584894"/>
    <w:rsid w:val="0059227B"/>
    <w:rsid w:val="005B0458"/>
    <w:rsid w:val="005B0966"/>
    <w:rsid w:val="005B795D"/>
    <w:rsid w:val="005C518D"/>
    <w:rsid w:val="005D3B50"/>
    <w:rsid w:val="005F0A62"/>
    <w:rsid w:val="006011B0"/>
    <w:rsid w:val="00610508"/>
    <w:rsid w:val="00613820"/>
    <w:rsid w:val="00645C90"/>
    <w:rsid w:val="00652248"/>
    <w:rsid w:val="00655FBE"/>
    <w:rsid w:val="00657B80"/>
    <w:rsid w:val="00675B3C"/>
    <w:rsid w:val="0069495C"/>
    <w:rsid w:val="006A473B"/>
    <w:rsid w:val="006B33E1"/>
    <w:rsid w:val="006B6FA1"/>
    <w:rsid w:val="006C2FD7"/>
    <w:rsid w:val="006C6EC9"/>
    <w:rsid w:val="006D340A"/>
    <w:rsid w:val="006F4437"/>
    <w:rsid w:val="00703210"/>
    <w:rsid w:val="00715A1D"/>
    <w:rsid w:val="00732699"/>
    <w:rsid w:val="00760BB0"/>
    <w:rsid w:val="0076157A"/>
    <w:rsid w:val="00777227"/>
    <w:rsid w:val="00784593"/>
    <w:rsid w:val="007A00EF"/>
    <w:rsid w:val="007B19EA"/>
    <w:rsid w:val="007C0A2D"/>
    <w:rsid w:val="007C27B0"/>
    <w:rsid w:val="007E616E"/>
    <w:rsid w:val="007F1FDA"/>
    <w:rsid w:val="007F300B"/>
    <w:rsid w:val="008014C3"/>
    <w:rsid w:val="00806D5B"/>
    <w:rsid w:val="0081148E"/>
    <w:rsid w:val="00820E21"/>
    <w:rsid w:val="00850812"/>
    <w:rsid w:val="0085733F"/>
    <w:rsid w:val="00876B9A"/>
    <w:rsid w:val="00885432"/>
    <w:rsid w:val="00886CBD"/>
    <w:rsid w:val="008933BF"/>
    <w:rsid w:val="008A10C4"/>
    <w:rsid w:val="008A3723"/>
    <w:rsid w:val="008A5E7C"/>
    <w:rsid w:val="008B0248"/>
    <w:rsid w:val="008D191D"/>
    <w:rsid w:val="008D40B8"/>
    <w:rsid w:val="008E1D60"/>
    <w:rsid w:val="008F5F33"/>
    <w:rsid w:val="0091046A"/>
    <w:rsid w:val="0092071D"/>
    <w:rsid w:val="00926ABD"/>
    <w:rsid w:val="009305C5"/>
    <w:rsid w:val="00947F4E"/>
    <w:rsid w:val="00950EAF"/>
    <w:rsid w:val="00966D47"/>
    <w:rsid w:val="00985F25"/>
    <w:rsid w:val="00992312"/>
    <w:rsid w:val="00997E6B"/>
    <w:rsid w:val="009B191E"/>
    <w:rsid w:val="009B3C97"/>
    <w:rsid w:val="009C0DED"/>
    <w:rsid w:val="009C30ED"/>
    <w:rsid w:val="009E25F2"/>
    <w:rsid w:val="009F2097"/>
    <w:rsid w:val="00A20ED6"/>
    <w:rsid w:val="00A37D7F"/>
    <w:rsid w:val="00A4264E"/>
    <w:rsid w:val="00A44F08"/>
    <w:rsid w:val="00A451B3"/>
    <w:rsid w:val="00A46410"/>
    <w:rsid w:val="00A57688"/>
    <w:rsid w:val="00A82021"/>
    <w:rsid w:val="00A842E9"/>
    <w:rsid w:val="00A84A94"/>
    <w:rsid w:val="00AC34EC"/>
    <w:rsid w:val="00AD1DAA"/>
    <w:rsid w:val="00AD32D6"/>
    <w:rsid w:val="00AD590B"/>
    <w:rsid w:val="00AD7210"/>
    <w:rsid w:val="00AF1E23"/>
    <w:rsid w:val="00AF7F81"/>
    <w:rsid w:val="00B01AFF"/>
    <w:rsid w:val="00B05CC7"/>
    <w:rsid w:val="00B15461"/>
    <w:rsid w:val="00B23EE7"/>
    <w:rsid w:val="00B273D6"/>
    <w:rsid w:val="00B27E39"/>
    <w:rsid w:val="00B350D8"/>
    <w:rsid w:val="00B37480"/>
    <w:rsid w:val="00B46A32"/>
    <w:rsid w:val="00B6406E"/>
    <w:rsid w:val="00B76763"/>
    <w:rsid w:val="00B7732B"/>
    <w:rsid w:val="00B879F0"/>
    <w:rsid w:val="00BA2957"/>
    <w:rsid w:val="00BC25AA"/>
    <w:rsid w:val="00BC4B16"/>
    <w:rsid w:val="00BF713B"/>
    <w:rsid w:val="00C022E3"/>
    <w:rsid w:val="00C22B2D"/>
    <w:rsid w:val="00C22D17"/>
    <w:rsid w:val="00C24957"/>
    <w:rsid w:val="00C26BB2"/>
    <w:rsid w:val="00C355CF"/>
    <w:rsid w:val="00C4712D"/>
    <w:rsid w:val="00C5441A"/>
    <w:rsid w:val="00C555C9"/>
    <w:rsid w:val="00C94942"/>
    <w:rsid w:val="00C94F55"/>
    <w:rsid w:val="00CA7D62"/>
    <w:rsid w:val="00CB07A8"/>
    <w:rsid w:val="00CD4A57"/>
    <w:rsid w:val="00CD61A4"/>
    <w:rsid w:val="00D146F1"/>
    <w:rsid w:val="00D22FBD"/>
    <w:rsid w:val="00D33604"/>
    <w:rsid w:val="00D375DF"/>
    <w:rsid w:val="00D37B08"/>
    <w:rsid w:val="00D413C0"/>
    <w:rsid w:val="00D437FF"/>
    <w:rsid w:val="00D470E2"/>
    <w:rsid w:val="00D5130C"/>
    <w:rsid w:val="00D62265"/>
    <w:rsid w:val="00D64B06"/>
    <w:rsid w:val="00D8512E"/>
    <w:rsid w:val="00D94663"/>
    <w:rsid w:val="00DA1E58"/>
    <w:rsid w:val="00DB5EB2"/>
    <w:rsid w:val="00DC1055"/>
    <w:rsid w:val="00DE4EF2"/>
    <w:rsid w:val="00DF2C0E"/>
    <w:rsid w:val="00E00A77"/>
    <w:rsid w:val="00E00B0A"/>
    <w:rsid w:val="00E01584"/>
    <w:rsid w:val="00E040DC"/>
    <w:rsid w:val="00E04DB6"/>
    <w:rsid w:val="00E06FFB"/>
    <w:rsid w:val="00E17997"/>
    <w:rsid w:val="00E30155"/>
    <w:rsid w:val="00E43FAF"/>
    <w:rsid w:val="00E91887"/>
    <w:rsid w:val="00E91FE1"/>
    <w:rsid w:val="00E94134"/>
    <w:rsid w:val="00E94316"/>
    <w:rsid w:val="00EA5609"/>
    <w:rsid w:val="00EA5E95"/>
    <w:rsid w:val="00EA73F0"/>
    <w:rsid w:val="00EB54F3"/>
    <w:rsid w:val="00ED4954"/>
    <w:rsid w:val="00ED5A43"/>
    <w:rsid w:val="00EE0943"/>
    <w:rsid w:val="00EE33A2"/>
    <w:rsid w:val="00EE42BD"/>
    <w:rsid w:val="00EE6BF4"/>
    <w:rsid w:val="00EF0052"/>
    <w:rsid w:val="00F0624D"/>
    <w:rsid w:val="00F2147E"/>
    <w:rsid w:val="00F46292"/>
    <w:rsid w:val="00F63EEA"/>
    <w:rsid w:val="00F67A1C"/>
    <w:rsid w:val="00F70A45"/>
    <w:rsid w:val="00F729E5"/>
    <w:rsid w:val="00F82C5B"/>
    <w:rsid w:val="00F83017"/>
    <w:rsid w:val="00F8555F"/>
    <w:rsid w:val="00F868D3"/>
    <w:rsid w:val="00FB1E2A"/>
    <w:rsid w:val="00FB3E36"/>
    <w:rsid w:val="00FE6F70"/>
    <w:rsid w:val="00FF47F9"/>
    <w:rsid w:val="1087389A"/>
    <w:rsid w:val="240A2BBC"/>
    <w:rsid w:val="41C1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71DD82"/>
  <w15:chartTrackingRefBased/>
  <w15:docId w15:val="{0F5DE1E2-DED3-4AC6-A342-193E8AE1D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TableofAuthorities">
    <w:name w:val="table of authorities"/>
    <w:basedOn w:val="Normal"/>
    <w:next w:val="Normal"/>
    <w:pPr>
      <w:ind w:left="200" w:hanging="20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imes New Roman" w:hAnsi="Times New Roman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rFonts w:ascii="Times New Roman" w:hAnsi="Times New Roman"/>
      <w:lang w:eastAsia="en-US"/>
    </w:r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Index5">
    <w:name w:val="index 5"/>
    <w:basedOn w:val="Normal"/>
    <w:next w:val="Normal"/>
    <w:pPr>
      <w:ind w:left="1000" w:hanging="200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DocumentMap">
    <w:name w:val="Document Map"/>
    <w:basedOn w:val="Normal"/>
    <w:link w:val="DocumentMapChar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eastAsia="en-US"/>
    </w:rPr>
  </w:style>
  <w:style w:type="paragraph" w:styleId="Index6">
    <w:name w:val="index 6"/>
    <w:basedOn w:val="Normal"/>
    <w:next w:val="Normal"/>
    <w:pPr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pPr>
      <w:spacing w:after="120"/>
    </w:pPr>
  </w:style>
  <w:style w:type="character" w:customStyle="1" w:styleId="BodyTextChar">
    <w:name w:val="Body Text Char"/>
    <w:link w:val="BodyText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Pr>
      <w:rFonts w:ascii="Times New Roman" w:hAnsi="Times New Roman"/>
      <w:lang w:eastAsia="en-US"/>
    </w:rPr>
  </w:style>
  <w:style w:type="paragraph" w:styleId="ListNumber3">
    <w:name w:val="List Number 3"/>
    <w:basedOn w:val="Normal"/>
    <w:pPr>
      <w:numPr>
        <w:numId w:val="1"/>
      </w:numPr>
      <w:tabs>
        <w:tab w:val="left" w:pos="926"/>
      </w:tabs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pPr>
      <w:ind w:left="800" w:hanging="200"/>
    </w:pPr>
  </w:style>
  <w:style w:type="paragraph" w:styleId="PlainText">
    <w:name w:val="Plain Text"/>
    <w:basedOn w:val="Normal"/>
    <w:link w:val="PlainTextChar"/>
    <w:rPr>
      <w:rFonts w:ascii="Courier New" w:hAnsi="Courier New" w:cs="Courier New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ListNumber4">
    <w:name w:val="List Number 4"/>
    <w:basedOn w:val="Normal"/>
    <w:pPr>
      <w:numPr>
        <w:numId w:val="2"/>
      </w:numPr>
      <w:tabs>
        <w:tab w:val="left" w:pos="1209"/>
      </w:tabs>
      <w:contextualSpacing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pPr>
      <w:ind w:left="600" w:hanging="200"/>
    </w:p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</w:style>
  <w:style w:type="character" w:customStyle="1" w:styleId="EndnoteTextChar">
    <w:name w:val="Endnote Text Char"/>
    <w:link w:val="EndnoteText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paragraph" w:styleId="EnvelopeReturn">
    <w:name w:val="envelope return"/>
    <w:basedOn w:val="Normal"/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rPr>
      <w:rFonts w:ascii="Calibri Light" w:eastAsia="Times New Roman" w:hAnsi="Calibri Light"/>
      <w:b/>
      <w:bCs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Pr>
      <w:rFonts w:ascii="Calibri Light" w:eastAsia="Times New Roman" w:hAnsi="Calibri Light"/>
      <w:sz w:val="24"/>
      <w:szCs w:val="24"/>
      <w:lang w:eastAsia="en-US"/>
    </w:rPr>
  </w:style>
  <w:style w:type="paragraph" w:styleId="ListNumber5">
    <w:name w:val="List Number 5"/>
    <w:basedOn w:val="Normal"/>
    <w:pPr>
      <w:numPr>
        <w:numId w:val="3"/>
      </w:numPr>
      <w:tabs>
        <w:tab w:val="left" w:pos="1492"/>
      </w:tabs>
      <w:contextualSpacing/>
    </w:p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BodyTextIndent3">
    <w:name w:val="Body Text Indent 3"/>
    <w:basedOn w:val="Normal"/>
    <w:link w:val="BodyTextIndent3Char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pPr>
      <w:ind w:left="1400" w:hanging="200"/>
    </w:pPr>
  </w:style>
  <w:style w:type="paragraph" w:styleId="Index9">
    <w:name w:val="index 9"/>
    <w:basedOn w:val="Normal"/>
    <w:next w:val="Normal"/>
    <w:pPr>
      <w:ind w:left="1800" w:hanging="200"/>
    </w:pPr>
  </w:style>
  <w:style w:type="paragraph" w:styleId="TableofFigures">
    <w:name w:val="table of figures"/>
    <w:basedOn w:val="Normal"/>
    <w:next w:val="Normal"/>
  </w:style>
  <w:style w:type="paragraph" w:styleId="TOC9">
    <w:name w:val="toc 9"/>
    <w:basedOn w:val="TOC8"/>
    <w:semiHidden/>
    <w:pPr>
      <w:ind w:left="1418" w:hanging="1418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Index2">
    <w:name w:val="index 2"/>
    <w:basedOn w:val="Index1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FirstIndentChar">
    <w:name w:val="Body Text First Indent Char"/>
    <w:link w:val="BodyTextFirstIndent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lang w:eastAsia="en-US"/>
    </w:rPr>
  </w:style>
  <w:style w:type="table" w:styleId="TableGrid">
    <w:name w:val="Table Grid"/>
    <w:basedOn w:val="TableNormal"/>
    <w:rPr>
      <w:rFonts w:ascii="Times New Roman" w:eastAsia="Malgun Gothic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Bibliography">
    <w:name w:val="Bibliography"/>
    <w:basedOn w:val="Normal"/>
    <w:next w:val="Normal"/>
    <w:uiPriority w:val="37"/>
    <w:unhideWhenUsed/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i/>
      <w:iCs/>
      <w:color w:val="4472C4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Spacing">
    <w:name w:val="No Spacing"/>
    <w:uiPriority w:val="1"/>
    <w:qFormat/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404040"/>
      <w:lang w:eastAsia="en-US"/>
    </w:rPr>
  </w:style>
  <w:style w:type="paragraph" w:styleId="TOCHeading">
    <w:name w:val="TOC Heading"/>
    <w:basedOn w:val="Heading1"/>
    <w:next w:val="Normal"/>
    <w:uiPriority w:val="39"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uiPriority w:val="99"/>
    <w:semiHidden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2</Pages>
  <Words>376</Words>
  <Characters>2146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Samsung</cp:lastModifiedBy>
  <cp:revision>12</cp:revision>
  <dcterms:created xsi:type="dcterms:W3CDTF">2024-01-12T14:45:00Z</dcterms:created>
  <dcterms:modified xsi:type="dcterms:W3CDTF">2024-01-12T16:42:00Z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2052-11.8.2.12085</vt:lpwstr>
  </property>
  <property fmtid="{D5CDD505-2E9C-101B-9397-08002B2CF9AE}" pid="4" name="ICV">
    <vt:lpwstr>FDF94CB7D09C4F9B9DB015862F1547CF</vt:lpwstr>
  </property>
</Properties>
</file>